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물품공급계약서</w:t>
      </w:r>
    </w:p>
    <w:p>
      <w:pPr>
        <w:spacing w:after="6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____________________(이하 "갑", 구매자)와 ____________________(이하 "을", 공급자)는 아래 물품의 공급에 관하여 다음과 같이 계약을 맺는다.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공급 물품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1260"/>
        <w:gridCol w:w="1080"/>
        <w:gridCol w:w="1800"/>
        <w:gridCol w:w="2160"/>
      </w:tblGrid>
      <w:tr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품명·규격</w:t>
            </w:r>
          </w:p>
        </w:tc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수량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단위</w:t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단가(원)</w:t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금액(원)</w:t>
            </w:r>
          </w:p>
        </w:tc>
      </w:tr>
      <w:tr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합계 (□ 부가세 포함 □ 별도)</w:t>
            </w:r>
          </w:p>
        </w:tc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/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제1조(납품) 을은 ____년 __월 __일까지 ____________________(납품 장소)에 물품을 납품한다. 운송비는 □ 갑 □ 을 이 부담한다.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제2조(검수) 갑은 납품받은 날부터 ____일 이내에 검수하고 결과를 을에게 알린다. 불합격품은 을이 ____일 이내에 교환·보완한다.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제3조(대금 지급) 갑은 검수 완료 후 □ 즉시 □ ____일 이내 □ 매월 ____일 마감 다음 달 ____일에 세금계산서를 받고 아래 계좌로 대금을 지급한다.  계좌 : ________은행 ____________________ (예금주 ________)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제4조(소유권과 위험) 물품의 소유권과 멸실·훼손의 위험은 □ 납품 시 □ 검수 완료 시 □ 대금 완납 시 갑에게 넘어간다.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제5조(하자 보증) 을은 납품일부터 ____개월 동안 물품의 하자에 대하여 무상으로 수리·교환한다.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제6조(지체상금) 을이 납품 기한을 넘기면 지체 1일마다 계약금액의 ____/1000을 지체상금으로 갑에게 지급한다. 다만 천재지변 등 불가항력은 제외한다.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제7조(해지) 한쪽이 계약을 위반하고 ____일 이상의 기간을 정한 시정 요구에도 고치지 않으면 상대방은 계약을 해지하고 손해배상을 청구할 수 있다.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제8조(기타) 정하지 않은 사항은 상관례와 관계 법령에 따르며, 분쟁 시 관할 법원은 ____________법원으로 한다.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특약 사항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____________________________________________________________</w:t>
      </w:r>
    </w:p>
    <w:p>
      <w:pPr>
        <w:spacing w:after="80" w:before="100" w:line="280"/>
        <w:jc w:val="right"/>
      </w:pPr>
      <w:r>
        <w:rPr>
          <w:rFonts w:ascii="맑은 고딕" w:cs="맑은 고딕" w:eastAsia="맑은 고딕" w:hAnsi="맑은 고딕"/>
          <w:sz w:val="19"/>
          <w:szCs w:val="19"/>
        </w:rPr>
        <w:t xml:space="preserve">______년 ____월 ____일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2700"/>
        <w:gridCol w:w="2340"/>
        <w:gridCol w:w="2520"/>
      </w:tblGrid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구분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성명·상호 (서명·인)</w:t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생년월일·사업자번호 / 연락처</w:t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주소</w:t>
            </w:r>
          </w:p>
        </w:tc>
      </w:tr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갑 (구매자)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을 (공급자)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/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2026-10-08T11:47:35.143Z</dcterms:created>
  <dcterms:modified xsi:type="dcterms:W3CDTF">2026-10-08T11:47:35.144Z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